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2"/>
        <w:ind w:left="5945" w:right="0" w:firstLine="0"/>
        <w:jc w:val="left"/>
        <w:rPr>
          <w:b/>
          <w:sz w:val="16"/>
        </w:rPr>
      </w:pPr>
      <w:r>
        <w:rPr/>
        <w:drawing>
          <wp:anchor distT="0" distB="0" distL="0" distR="0" allowOverlap="1" layoutInCell="1" locked="0" behindDoc="0" simplePos="0" relativeHeight="15728640">
            <wp:simplePos x="0" y="0"/>
            <wp:positionH relativeFrom="page">
              <wp:posOffset>914400</wp:posOffset>
            </wp:positionH>
            <wp:positionV relativeFrom="paragraph">
              <wp:posOffset>31930</wp:posOffset>
            </wp:positionV>
            <wp:extent cx="3596640" cy="83061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596640" cy="830618"/>
                    </a:xfrm>
                    <a:prstGeom prst="rect">
                      <a:avLst/>
                    </a:prstGeom>
                  </pic:spPr>
                </pic:pic>
              </a:graphicData>
            </a:graphic>
          </wp:anchor>
        </w:drawing>
      </w:r>
      <w:r>
        <w:rPr/>
        <w:pict>
          <v:rect style="position:absolute;margin-left:4.204391pt;margin-top:754.971985pt;width:603.3306pt;height:6.02342pt;mso-position-horizontal-relative:page;mso-position-vertical-relative:page;z-index:15729152" id="docshape1" filled="true" fillcolor="#08509a" stroked="false">
            <v:fill type="solid"/>
            <w10:wrap type="none"/>
          </v:rect>
        </w:pict>
      </w:r>
      <w:r>
        <w:rPr>
          <w:b/>
          <w:color w:val="08509A"/>
          <w:sz w:val="16"/>
        </w:rPr>
        <w:t>Caribbean</w:t>
      </w:r>
      <w:r>
        <w:rPr>
          <w:b/>
          <w:color w:val="08509A"/>
          <w:spacing w:val="-6"/>
          <w:sz w:val="16"/>
        </w:rPr>
        <w:t> </w:t>
      </w:r>
      <w:r>
        <w:rPr>
          <w:b/>
          <w:color w:val="08509A"/>
          <w:sz w:val="16"/>
        </w:rPr>
        <w:t>Institute</w:t>
      </w:r>
      <w:r>
        <w:rPr>
          <w:b/>
          <w:color w:val="08509A"/>
          <w:spacing w:val="-4"/>
          <w:sz w:val="16"/>
        </w:rPr>
        <w:t> </w:t>
      </w:r>
      <w:r>
        <w:rPr>
          <w:b/>
          <w:color w:val="08509A"/>
          <w:sz w:val="16"/>
        </w:rPr>
        <w:t>for</w:t>
      </w:r>
      <w:r>
        <w:rPr>
          <w:b/>
          <w:color w:val="08509A"/>
          <w:spacing w:val="-7"/>
          <w:sz w:val="16"/>
        </w:rPr>
        <w:t> </w:t>
      </w:r>
      <w:r>
        <w:rPr>
          <w:b/>
          <w:color w:val="08509A"/>
          <w:sz w:val="16"/>
        </w:rPr>
        <w:t>Meteorology</w:t>
      </w:r>
      <w:r>
        <w:rPr>
          <w:b/>
          <w:color w:val="08509A"/>
          <w:spacing w:val="-4"/>
          <w:sz w:val="16"/>
        </w:rPr>
        <w:t> </w:t>
      </w:r>
      <w:r>
        <w:rPr>
          <w:b/>
          <w:color w:val="08509A"/>
          <w:sz w:val="16"/>
        </w:rPr>
        <w:t>and</w:t>
      </w:r>
      <w:r>
        <w:rPr>
          <w:b/>
          <w:color w:val="08509A"/>
          <w:spacing w:val="-4"/>
          <w:sz w:val="16"/>
        </w:rPr>
        <w:t> </w:t>
      </w:r>
      <w:r>
        <w:rPr>
          <w:b/>
          <w:color w:val="08509A"/>
          <w:spacing w:val="-2"/>
          <w:sz w:val="16"/>
        </w:rPr>
        <w:t>Hydrology</w:t>
      </w:r>
    </w:p>
    <w:p>
      <w:pPr>
        <w:spacing w:before="16"/>
        <w:ind w:left="5945" w:right="0" w:firstLine="0"/>
        <w:jc w:val="left"/>
        <w:rPr>
          <w:sz w:val="16"/>
        </w:rPr>
      </w:pPr>
      <w:r>
        <w:rPr>
          <w:sz w:val="16"/>
        </w:rPr>
        <w:t>P.O.</w:t>
      </w:r>
      <w:r>
        <w:rPr>
          <w:spacing w:val="-4"/>
          <w:sz w:val="16"/>
        </w:rPr>
        <w:t> </w:t>
      </w:r>
      <w:r>
        <w:rPr>
          <w:sz w:val="16"/>
        </w:rPr>
        <w:t>Box</w:t>
      </w:r>
      <w:r>
        <w:rPr>
          <w:spacing w:val="-3"/>
          <w:sz w:val="16"/>
        </w:rPr>
        <w:t> </w:t>
      </w:r>
      <w:r>
        <w:rPr>
          <w:sz w:val="16"/>
        </w:rPr>
        <w:t>130,</w:t>
      </w:r>
      <w:r>
        <w:rPr>
          <w:spacing w:val="-3"/>
          <w:sz w:val="16"/>
        </w:rPr>
        <w:t> </w:t>
      </w:r>
      <w:r>
        <w:rPr>
          <w:sz w:val="16"/>
        </w:rPr>
        <w:t>Bridgetown,</w:t>
      </w:r>
      <w:r>
        <w:rPr>
          <w:spacing w:val="-3"/>
          <w:sz w:val="16"/>
        </w:rPr>
        <w:t> </w:t>
      </w:r>
      <w:r>
        <w:rPr>
          <w:spacing w:val="-2"/>
          <w:sz w:val="16"/>
        </w:rPr>
        <w:t>Barbados</w:t>
      </w:r>
    </w:p>
    <w:p>
      <w:pPr>
        <w:spacing w:before="21"/>
        <w:ind w:left="5945" w:right="0" w:firstLine="0"/>
        <w:jc w:val="left"/>
        <w:rPr>
          <w:sz w:val="16"/>
        </w:rPr>
      </w:pPr>
      <w:r>
        <w:rPr>
          <w:b/>
          <w:sz w:val="16"/>
        </w:rPr>
        <w:t>Tel:</w:t>
      </w:r>
      <w:r>
        <w:rPr>
          <w:b/>
          <w:spacing w:val="-6"/>
          <w:sz w:val="16"/>
        </w:rPr>
        <w:t> </w:t>
      </w:r>
      <w:r>
        <w:rPr>
          <w:sz w:val="16"/>
        </w:rPr>
        <w:t>246-425-</w:t>
      </w:r>
      <w:r>
        <w:rPr>
          <w:spacing w:val="-2"/>
          <w:sz w:val="16"/>
        </w:rPr>
        <w:t>1362/3/5</w:t>
      </w:r>
    </w:p>
    <w:p>
      <w:pPr>
        <w:spacing w:before="18"/>
        <w:ind w:left="5945" w:right="0" w:firstLine="0"/>
        <w:jc w:val="left"/>
        <w:rPr>
          <w:sz w:val="16"/>
        </w:rPr>
      </w:pPr>
      <w:r>
        <w:rPr>
          <w:b/>
          <w:sz w:val="16"/>
        </w:rPr>
        <w:t>Fax:</w:t>
      </w:r>
      <w:r>
        <w:rPr>
          <w:b/>
          <w:spacing w:val="-7"/>
          <w:sz w:val="16"/>
        </w:rPr>
        <w:t> </w:t>
      </w:r>
      <w:r>
        <w:rPr>
          <w:sz w:val="16"/>
        </w:rPr>
        <w:t>246-424-</w:t>
      </w:r>
      <w:r>
        <w:rPr>
          <w:spacing w:val="-4"/>
          <w:sz w:val="16"/>
        </w:rPr>
        <w:t>4733</w:t>
      </w:r>
    </w:p>
    <w:p>
      <w:pPr>
        <w:spacing w:before="21"/>
        <w:ind w:left="5945" w:right="0" w:firstLine="0"/>
        <w:jc w:val="left"/>
        <w:rPr>
          <w:sz w:val="16"/>
        </w:rPr>
      </w:pPr>
      <w:r>
        <w:rPr>
          <w:b/>
          <w:sz w:val="16"/>
        </w:rPr>
        <w:t>Email:</w:t>
      </w:r>
      <w:r>
        <w:rPr>
          <w:b/>
          <w:spacing w:val="-2"/>
          <w:sz w:val="16"/>
        </w:rPr>
        <w:t> </w:t>
      </w:r>
      <w:hyperlink r:id="rId6">
        <w:r>
          <w:rPr>
            <w:color w:val="0462C1"/>
            <w:spacing w:val="-2"/>
            <w:sz w:val="16"/>
            <w:u w:val="single" w:color="0462C1"/>
          </w:rPr>
          <w:t>climsacaribbean@cimh.edu.bb</w:t>
        </w:r>
      </w:hyperlink>
    </w:p>
    <w:p>
      <w:pPr>
        <w:pStyle w:val="BodyText"/>
        <w:ind w:left="0"/>
        <w:jc w:val="left"/>
        <w:rPr>
          <w:sz w:val="20"/>
        </w:rPr>
      </w:pPr>
    </w:p>
    <w:p>
      <w:pPr>
        <w:pStyle w:val="BodyText"/>
        <w:spacing w:before="4"/>
        <w:ind w:left="0"/>
        <w:jc w:val="left"/>
        <w:rPr>
          <w:sz w:val="21"/>
        </w:rPr>
      </w:pPr>
    </w:p>
    <w:p>
      <w:pPr>
        <w:pStyle w:val="Title"/>
      </w:pPr>
      <w:r>
        <w:rPr/>
        <w:t>Technical</w:t>
      </w:r>
      <w:r>
        <w:rPr>
          <w:spacing w:val="-6"/>
        </w:rPr>
        <w:t> </w:t>
      </w:r>
      <w:r>
        <w:rPr/>
        <w:t>Experts</w:t>
      </w:r>
      <w:r>
        <w:rPr>
          <w:spacing w:val="-6"/>
        </w:rPr>
        <w:t> </w:t>
      </w:r>
      <w:r>
        <w:rPr/>
        <w:t>Complete</w:t>
      </w:r>
      <w:r>
        <w:rPr>
          <w:spacing w:val="-6"/>
        </w:rPr>
        <w:t> </w:t>
      </w:r>
      <w:r>
        <w:rPr/>
        <w:t>Assessment</w:t>
      </w:r>
      <w:r>
        <w:rPr>
          <w:spacing w:val="-1"/>
        </w:rPr>
        <w:t> </w:t>
      </w:r>
      <w:r>
        <w:rPr/>
        <w:t>for</w:t>
      </w:r>
      <w:r>
        <w:rPr>
          <w:spacing w:val="-6"/>
        </w:rPr>
        <w:t> </w:t>
      </w:r>
      <w:r>
        <w:rPr/>
        <w:t>Enhancement</w:t>
      </w:r>
      <w:r>
        <w:rPr>
          <w:spacing w:val="-5"/>
        </w:rPr>
        <w:t> </w:t>
      </w:r>
      <w:r>
        <w:rPr/>
        <w:t>of</w:t>
      </w:r>
      <w:r>
        <w:rPr>
          <w:spacing w:val="-5"/>
        </w:rPr>
        <w:t> </w:t>
      </w:r>
      <w:r>
        <w:rPr/>
        <w:t>the Climate Observation Station Network in Guyana</w:t>
      </w:r>
    </w:p>
    <w:p>
      <w:pPr>
        <w:pStyle w:val="BodyText"/>
        <w:spacing w:before="12"/>
        <w:ind w:left="0"/>
        <w:jc w:val="left"/>
        <w:rPr>
          <w:b/>
          <w:sz w:val="23"/>
        </w:rPr>
      </w:pPr>
    </w:p>
    <w:p>
      <w:pPr>
        <w:pStyle w:val="BodyText"/>
        <w:spacing w:line="259" w:lineRule="auto"/>
        <w:ind w:right="116"/>
      </w:pPr>
      <w:r>
        <w:rPr/>
        <w:t>The Caribbean Institute of Meteorology and Hydrology (CIMH) in collaboration with the Telecommunication and Maintenance Section of the Hydrometeorological Service of Guyana carried out a series of site assessment visits from 20-22 March, to support the enhancement of the climate observation station network in Guyana.</w:t>
      </w:r>
    </w:p>
    <w:p>
      <w:pPr>
        <w:pStyle w:val="BodyText"/>
        <w:spacing w:line="259" w:lineRule="auto" w:before="160"/>
        <w:ind w:right="113"/>
      </w:pPr>
      <w:r>
        <w:rPr/>
        <w:t>Supported by the Intra-ACP Climate Services and Related Applications (ClimSA) Caribbean Programme, the CIMH, whose functions include data management for Member States of the Caribbean Meteorological Organization (CMO), continues to assess the climate and hydrometeorological observation and early warning station networks in beneficiary countries. These assessments are geared towards addressing gaps in the networks by supporting the procurement of instruments and installation activities needed to retrofit or rehabilitate Automatic Weather Stations (AWS) in Jamaica, Dominica and Guyana, the focal point countries of the Programme.</w:t>
      </w:r>
    </w:p>
    <w:p>
      <w:pPr>
        <w:pStyle w:val="BodyText"/>
        <w:spacing w:line="259" w:lineRule="auto" w:before="157"/>
        <w:ind w:right="114"/>
      </w:pPr>
      <w:r>
        <w:rPr/>
        <w:t>In</w:t>
      </w:r>
      <w:r>
        <w:rPr>
          <w:spacing w:val="-14"/>
        </w:rPr>
        <w:t> </w:t>
      </w:r>
      <w:r>
        <w:rPr/>
        <w:t>Guyana,</w:t>
      </w:r>
      <w:r>
        <w:rPr>
          <w:spacing w:val="-14"/>
        </w:rPr>
        <w:t> </w:t>
      </w:r>
      <w:r>
        <w:rPr/>
        <w:t>three</w:t>
      </w:r>
      <w:r>
        <w:rPr>
          <w:spacing w:val="-13"/>
        </w:rPr>
        <w:t> </w:t>
      </w:r>
      <w:r>
        <w:rPr/>
        <w:t>AWSs,</w:t>
      </w:r>
      <w:r>
        <w:rPr>
          <w:spacing w:val="-14"/>
        </w:rPr>
        <w:t> </w:t>
      </w:r>
      <w:r>
        <w:rPr/>
        <w:t>Orealla</w:t>
      </w:r>
      <w:r>
        <w:rPr>
          <w:spacing w:val="-13"/>
        </w:rPr>
        <w:t> </w:t>
      </w:r>
      <w:r>
        <w:rPr/>
        <w:t>in</w:t>
      </w:r>
      <w:r>
        <w:rPr>
          <w:spacing w:val="-14"/>
        </w:rPr>
        <w:t> </w:t>
      </w:r>
      <w:r>
        <w:rPr/>
        <w:t>the</w:t>
      </w:r>
      <w:r>
        <w:rPr>
          <w:spacing w:val="-13"/>
        </w:rPr>
        <w:t> </w:t>
      </w:r>
      <w:r>
        <w:rPr/>
        <w:t>east,</w:t>
      </w:r>
      <w:r>
        <w:rPr>
          <w:spacing w:val="-14"/>
        </w:rPr>
        <w:t> </w:t>
      </w:r>
      <w:r>
        <w:rPr/>
        <w:t>St.</w:t>
      </w:r>
      <w:r>
        <w:rPr>
          <w:spacing w:val="-14"/>
        </w:rPr>
        <w:t> </w:t>
      </w:r>
      <w:r>
        <w:rPr/>
        <w:t>Ignatius</w:t>
      </w:r>
      <w:r>
        <w:rPr>
          <w:spacing w:val="-13"/>
        </w:rPr>
        <w:t> </w:t>
      </w:r>
      <w:r>
        <w:rPr/>
        <w:t>in</w:t>
      </w:r>
      <w:r>
        <w:rPr>
          <w:spacing w:val="-14"/>
        </w:rPr>
        <w:t> </w:t>
      </w:r>
      <w:r>
        <w:rPr/>
        <w:t>the</w:t>
      </w:r>
      <w:r>
        <w:rPr>
          <w:spacing w:val="-13"/>
        </w:rPr>
        <w:t> </w:t>
      </w:r>
      <w:r>
        <w:rPr/>
        <w:t>west,</w:t>
      </w:r>
      <w:r>
        <w:rPr>
          <w:spacing w:val="-14"/>
        </w:rPr>
        <w:t> </w:t>
      </w:r>
      <w:r>
        <w:rPr/>
        <w:t>and</w:t>
      </w:r>
      <w:r>
        <w:rPr>
          <w:spacing w:val="-13"/>
        </w:rPr>
        <w:t> </w:t>
      </w:r>
      <w:r>
        <w:rPr/>
        <w:t>Kaietuer</w:t>
      </w:r>
      <w:r>
        <w:rPr>
          <w:spacing w:val="-14"/>
        </w:rPr>
        <w:t> </w:t>
      </w:r>
      <w:r>
        <w:rPr/>
        <w:t>in</w:t>
      </w:r>
      <w:r>
        <w:rPr>
          <w:spacing w:val="-14"/>
        </w:rPr>
        <w:t> </w:t>
      </w:r>
      <w:r>
        <w:rPr/>
        <w:t>central</w:t>
      </w:r>
      <w:r>
        <w:rPr>
          <w:spacing w:val="-13"/>
        </w:rPr>
        <w:t> </w:t>
      </w:r>
      <w:r>
        <w:rPr/>
        <w:t>Guyana were</w:t>
      </w:r>
      <w:r>
        <w:rPr>
          <w:spacing w:val="-12"/>
        </w:rPr>
        <w:t> </w:t>
      </w:r>
      <w:r>
        <w:rPr/>
        <w:t>visited</w:t>
      </w:r>
      <w:r>
        <w:rPr>
          <w:spacing w:val="-11"/>
        </w:rPr>
        <w:t> </w:t>
      </w:r>
      <w:r>
        <w:rPr/>
        <w:t>by</w:t>
      </w:r>
      <w:r>
        <w:rPr>
          <w:spacing w:val="-10"/>
        </w:rPr>
        <w:t> </w:t>
      </w:r>
      <w:r>
        <w:rPr/>
        <w:t>a</w:t>
      </w:r>
      <w:r>
        <w:rPr>
          <w:spacing w:val="-12"/>
        </w:rPr>
        <w:t> </w:t>
      </w:r>
      <w:r>
        <w:rPr/>
        <w:t>four-man</w:t>
      </w:r>
      <w:r>
        <w:rPr>
          <w:spacing w:val="-11"/>
        </w:rPr>
        <w:t> </w:t>
      </w:r>
      <w:r>
        <w:rPr/>
        <w:t>team</w:t>
      </w:r>
      <w:r>
        <w:rPr>
          <w:spacing w:val="-11"/>
        </w:rPr>
        <w:t> </w:t>
      </w:r>
      <w:r>
        <w:rPr/>
        <w:t>including</w:t>
      </w:r>
      <w:r>
        <w:rPr>
          <w:spacing w:val="-14"/>
        </w:rPr>
        <w:t> </w:t>
      </w:r>
      <w:r>
        <w:rPr/>
        <w:t>Dr.</w:t>
      </w:r>
      <w:r>
        <w:rPr>
          <w:spacing w:val="-9"/>
        </w:rPr>
        <w:t> </w:t>
      </w:r>
      <w:r>
        <w:rPr/>
        <w:t>Jonathan</w:t>
      </w:r>
      <w:r>
        <w:rPr>
          <w:spacing w:val="-9"/>
        </w:rPr>
        <w:t> </w:t>
      </w:r>
      <w:r>
        <w:rPr/>
        <w:t>Cox,</w:t>
      </w:r>
      <w:r>
        <w:rPr>
          <w:spacing w:val="-11"/>
        </w:rPr>
        <w:t> </w:t>
      </w:r>
      <w:r>
        <w:rPr/>
        <w:t>Hydrologist</w:t>
      </w:r>
      <w:r>
        <w:rPr>
          <w:spacing w:val="-10"/>
        </w:rPr>
        <w:t> </w:t>
      </w:r>
      <w:r>
        <w:rPr/>
        <w:t>from</w:t>
      </w:r>
      <w:r>
        <w:rPr>
          <w:spacing w:val="-11"/>
        </w:rPr>
        <w:t> </w:t>
      </w:r>
      <w:r>
        <w:rPr/>
        <w:t>the</w:t>
      </w:r>
      <w:r>
        <w:rPr>
          <w:spacing w:val="-10"/>
        </w:rPr>
        <w:t> </w:t>
      </w:r>
      <w:r>
        <w:rPr/>
        <w:t>CIMH,</w:t>
      </w:r>
      <w:r>
        <w:rPr>
          <w:spacing w:val="-10"/>
        </w:rPr>
        <w:t> </w:t>
      </w:r>
      <w:r>
        <w:rPr/>
        <w:t>and</w:t>
      </w:r>
      <w:r>
        <w:rPr>
          <w:spacing w:val="-11"/>
        </w:rPr>
        <w:t> </w:t>
      </w:r>
      <w:r>
        <w:rPr/>
        <w:t>Ron Deonandan, an Electrical Engineer with the Hydrometeorological Service. The purpose of these visits was to determine the current state of the AWSs and recommend updates and equipment replacements required to enable a return to standard operations.</w:t>
      </w:r>
    </w:p>
    <w:p>
      <w:pPr>
        <w:pStyle w:val="BodyText"/>
        <w:spacing w:line="259" w:lineRule="auto" w:before="161"/>
        <w:ind w:right="113"/>
      </w:pPr>
      <w:r>
        <w:rPr/>
        <w:t>During</w:t>
      </w:r>
      <w:r>
        <w:rPr>
          <w:spacing w:val="-3"/>
        </w:rPr>
        <w:t> </w:t>
      </w:r>
      <w:r>
        <w:rPr/>
        <w:t>the</w:t>
      </w:r>
      <w:r>
        <w:rPr>
          <w:spacing w:val="-2"/>
        </w:rPr>
        <w:t> </w:t>
      </w:r>
      <w:r>
        <w:rPr/>
        <w:t>three-day</w:t>
      </w:r>
      <w:r>
        <w:rPr>
          <w:spacing w:val="-4"/>
        </w:rPr>
        <w:t> </w:t>
      </w:r>
      <w:r>
        <w:rPr/>
        <w:t>site</w:t>
      </w:r>
      <w:r>
        <w:rPr>
          <w:spacing w:val="-5"/>
        </w:rPr>
        <w:t> </w:t>
      </w:r>
      <w:r>
        <w:rPr/>
        <w:t>assessment,</w:t>
      </w:r>
      <w:r>
        <w:rPr>
          <w:spacing w:val="-3"/>
        </w:rPr>
        <w:t> </w:t>
      </w:r>
      <w:r>
        <w:rPr/>
        <w:t>a</w:t>
      </w:r>
      <w:r>
        <w:rPr>
          <w:spacing w:val="-5"/>
        </w:rPr>
        <w:t> </w:t>
      </w:r>
      <w:r>
        <w:rPr/>
        <w:t>comprehensive</w:t>
      </w:r>
      <w:r>
        <w:rPr>
          <w:spacing w:val="-3"/>
        </w:rPr>
        <w:t> </w:t>
      </w:r>
      <w:r>
        <w:rPr/>
        <w:t>inspection</w:t>
      </w:r>
      <w:r>
        <w:rPr>
          <w:spacing w:val="-2"/>
        </w:rPr>
        <w:t> </w:t>
      </w:r>
      <w:r>
        <w:rPr/>
        <w:t>of</w:t>
      </w:r>
      <w:r>
        <w:rPr>
          <w:spacing w:val="-2"/>
        </w:rPr>
        <w:t> </w:t>
      </w:r>
      <w:r>
        <w:rPr/>
        <w:t>each AWS</w:t>
      </w:r>
      <w:r>
        <w:rPr>
          <w:spacing w:val="-2"/>
        </w:rPr>
        <w:t> </w:t>
      </w:r>
      <w:r>
        <w:rPr/>
        <w:t>was</w:t>
      </w:r>
      <w:r>
        <w:rPr>
          <w:spacing w:val="-2"/>
        </w:rPr>
        <w:t> </w:t>
      </w:r>
      <w:r>
        <w:rPr/>
        <w:t>completed. Inspections included the thorough examination of instruments, installations, and the sites and their</w:t>
      </w:r>
      <w:r>
        <w:rPr>
          <w:spacing w:val="-8"/>
        </w:rPr>
        <w:t> </w:t>
      </w:r>
      <w:r>
        <w:rPr/>
        <w:t>surrounding</w:t>
      </w:r>
      <w:r>
        <w:rPr>
          <w:spacing w:val="-9"/>
        </w:rPr>
        <w:t> </w:t>
      </w:r>
      <w:r>
        <w:rPr/>
        <w:t>environs</w:t>
      </w:r>
      <w:r>
        <w:rPr>
          <w:spacing w:val="-7"/>
        </w:rPr>
        <w:t> </w:t>
      </w:r>
      <w:r>
        <w:rPr/>
        <w:t>to</w:t>
      </w:r>
      <w:r>
        <w:rPr>
          <w:spacing w:val="-8"/>
        </w:rPr>
        <w:t> </w:t>
      </w:r>
      <w:r>
        <w:rPr/>
        <w:t>identify</w:t>
      </w:r>
      <w:r>
        <w:rPr>
          <w:spacing w:val="-7"/>
        </w:rPr>
        <w:t> </w:t>
      </w:r>
      <w:r>
        <w:rPr/>
        <w:t>areas</w:t>
      </w:r>
      <w:r>
        <w:rPr>
          <w:spacing w:val="-9"/>
        </w:rPr>
        <w:t> </w:t>
      </w:r>
      <w:r>
        <w:rPr/>
        <w:t>of</w:t>
      </w:r>
      <w:r>
        <w:rPr>
          <w:spacing w:val="-7"/>
        </w:rPr>
        <w:t> </w:t>
      </w:r>
      <w:r>
        <w:rPr/>
        <w:t>noncompliance</w:t>
      </w:r>
      <w:r>
        <w:rPr>
          <w:spacing w:val="-6"/>
        </w:rPr>
        <w:t> </w:t>
      </w:r>
      <w:r>
        <w:rPr/>
        <w:t>with</w:t>
      </w:r>
      <w:r>
        <w:rPr>
          <w:spacing w:val="-8"/>
        </w:rPr>
        <w:t> </w:t>
      </w:r>
      <w:r>
        <w:rPr/>
        <w:t>the</w:t>
      </w:r>
      <w:r>
        <w:rPr>
          <w:spacing w:val="-5"/>
        </w:rPr>
        <w:t> </w:t>
      </w:r>
      <w:r>
        <w:rPr/>
        <w:t>guidance</w:t>
      </w:r>
      <w:r>
        <w:rPr>
          <w:spacing w:val="-8"/>
        </w:rPr>
        <w:t> </w:t>
      </w:r>
      <w:r>
        <w:rPr/>
        <w:t>from</w:t>
      </w:r>
      <w:r>
        <w:rPr>
          <w:spacing w:val="-8"/>
        </w:rPr>
        <w:t> </w:t>
      </w:r>
      <w:r>
        <w:rPr/>
        <w:t>the</w:t>
      </w:r>
      <w:r>
        <w:rPr>
          <w:spacing w:val="-4"/>
        </w:rPr>
        <w:t> </w:t>
      </w:r>
      <w:r>
        <w:rPr/>
        <w:t>World Meteorological Organization. Based on the findings of the site assessment visits, the complete replacement of these three AWSs is recommended.</w:t>
      </w:r>
    </w:p>
    <w:p>
      <w:pPr>
        <w:pStyle w:val="BodyText"/>
        <w:spacing w:line="259" w:lineRule="auto" w:before="158"/>
        <w:ind w:right="113"/>
      </w:pPr>
      <w:r>
        <w:rPr/>
        <w:t>In</w:t>
      </w:r>
      <w:r>
        <w:rPr>
          <w:spacing w:val="-1"/>
        </w:rPr>
        <w:t> </w:t>
      </w:r>
      <w:r>
        <w:rPr/>
        <w:t>a</w:t>
      </w:r>
      <w:r>
        <w:rPr>
          <w:spacing w:val="-2"/>
        </w:rPr>
        <w:t> </w:t>
      </w:r>
      <w:r>
        <w:rPr/>
        <w:t>statement</w:t>
      </w:r>
      <w:r>
        <w:rPr>
          <w:spacing w:val="-3"/>
        </w:rPr>
        <w:t> </w:t>
      </w:r>
      <w:r>
        <w:rPr/>
        <w:t>on</w:t>
      </w:r>
      <w:r>
        <w:rPr>
          <w:spacing w:val="-3"/>
        </w:rPr>
        <w:t> </w:t>
      </w:r>
      <w:r>
        <w:rPr/>
        <w:t>the</w:t>
      </w:r>
      <w:r>
        <w:rPr>
          <w:spacing w:val="-1"/>
        </w:rPr>
        <w:t> </w:t>
      </w:r>
      <w:r>
        <w:rPr/>
        <w:t>site</w:t>
      </w:r>
      <w:r>
        <w:rPr>
          <w:spacing w:val="-1"/>
        </w:rPr>
        <w:t> </w:t>
      </w:r>
      <w:r>
        <w:rPr/>
        <w:t>assessment</w:t>
      </w:r>
      <w:r>
        <w:rPr>
          <w:spacing w:val="-1"/>
        </w:rPr>
        <w:t> </w:t>
      </w:r>
      <w:r>
        <w:rPr/>
        <w:t>visits,</w:t>
      </w:r>
      <w:r>
        <w:rPr>
          <w:spacing w:val="-4"/>
        </w:rPr>
        <w:t> </w:t>
      </w:r>
      <w:r>
        <w:rPr/>
        <w:t>Dr.</w:t>
      </w:r>
      <w:r>
        <w:rPr>
          <w:spacing w:val="-2"/>
        </w:rPr>
        <w:t> </w:t>
      </w:r>
      <w:r>
        <w:rPr/>
        <w:t>Cox,</w:t>
      </w:r>
      <w:r>
        <w:rPr>
          <w:spacing w:val="-2"/>
        </w:rPr>
        <w:t> </w:t>
      </w:r>
      <w:r>
        <w:rPr/>
        <w:t>acknowledged</w:t>
      </w:r>
      <w:r>
        <w:rPr>
          <w:spacing w:val="-3"/>
        </w:rPr>
        <w:t> </w:t>
      </w:r>
      <w:r>
        <w:rPr/>
        <w:t>that</w:t>
      </w:r>
      <w:r>
        <w:rPr>
          <w:spacing w:val="-1"/>
        </w:rPr>
        <w:t> </w:t>
      </w:r>
      <w:r>
        <w:rPr/>
        <w:t>“the</w:t>
      </w:r>
      <w:r>
        <w:rPr>
          <w:spacing w:val="-1"/>
        </w:rPr>
        <w:t> </w:t>
      </w:r>
      <w:r>
        <w:rPr/>
        <w:t>three</w:t>
      </w:r>
      <w:r>
        <w:rPr>
          <w:spacing w:val="-1"/>
        </w:rPr>
        <w:t> </w:t>
      </w:r>
      <w:r>
        <w:rPr/>
        <w:t>sites</w:t>
      </w:r>
      <w:r>
        <w:rPr>
          <w:spacing w:val="-4"/>
        </w:rPr>
        <w:t> </w:t>
      </w:r>
      <w:r>
        <w:rPr/>
        <w:t>require the complete substitution of structures, sensors and enclosure fencing.” He also recommended periodic assessments of the equipment packages deployed at sites in Guyana due to changing environmental conditions.</w:t>
      </w:r>
    </w:p>
    <w:p>
      <w:pPr>
        <w:pStyle w:val="BodyText"/>
        <w:spacing w:line="259" w:lineRule="auto" w:before="160"/>
        <w:ind w:right="111"/>
      </w:pPr>
      <w:r>
        <w:rPr/>
        <w:t>Electrical Engineer Ron Deonandan, noted that the restoration of these Stations to their full operational capacity was a priority to prevent an unwanted and extended break in data collection. He further explained that the rehabilitation of these AWSs</w:t>
      </w:r>
      <w:r>
        <w:rPr>
          <w:spacing w:val="-2"/>
        </w:rPr>
        <w:t> </w:t>
      </w:r>
      <w:r>
        <w:rPr/>
        <w:t>was particularly critical as the Service was reliant on data produced by these Stations to provide climate services and products utilized by “local and international stakeholders and sectors for critical decision- </w:t>
      </w:r>
      <w:r>
        <w:rPr>
          <w:spacing w:val="-2"/>
        </w:rPr>
        <w:t>making.”</w:t>
      </w:r>
    </w:p>
    <w:sectPr>
      <w:type w:val="continuous"/>
      <w:pgSz w:w="12240" w:h="15840"/>
      <w:pgMar w:top="8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jc w:val="both"/>
    </w:pPr>
    <w:rPr>
      <w:rFonts w:ascii="Calibri" w:hAnsi="Calibri" w:eastAsia="Calibri" w:cs="Calibri"/>
      <w:sz w:val="24"/>
      <w:szCs w:val="24"/>
      <w:lang w:val="en-US" w:eastAsia="en-US" w:bidi="ar-SA"/>
    </w:rPr>
  </w:style>
  <w:style w:styleId="Title" w:type="paragraph">
    <w:name w:val="Title"/>
    <w:basedOn w:val="Normal"/>
    <w:uiPriority w:val="1"/>
    <w:qFormat/>
    <w:pPr>
      <w:spacing w:before="52"/>
      <w:ind w:left="2382" w:right="896" w:hanging="802"/>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climsacaribbean@cimh.edu.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Lyn-Marie Deane</dc:creator>
  <dcterms:created xsi:type="dcterms:W3CDTF">2023-07-26T15:44:36Z</dcterms:created>
  <dcterms:modified xsi:type="dcterms:W3CDTF">2023-07-26T15:44:36Z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for Microsoft 365</vt:lpwstr>
  </property>
  <property fmtid="{D5CDD505-2E9C-101B-9397-08002B2CF9AE}" pid="4" name="LastSaved">
    <vt:filetime>2023-07-26T00:00:00Z</vt:filetime>
  </property>
  <property fmtid="{D5CDD505-2E9C-101B-9397-08002B2CF9AE}" pid="5" name="Producer">
    <vt:lpwstr>Microsoft® Word for Microsoft 365</vt:lpwstr>
  </property>
</Properties>
</file>