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1"/>
        <w:ind w:left="5945" w:right="0" w:firstLine="0"/>
        <w:jc w:val="left"/>
        <w:rPr>
          <w:b/>
          <w:sz w:val="16"/>
        </w:rPr>
      </w:pPr>
      <w:r>
        <w:rPr/>
        <w:drawing>
          <wp:anchor distT="0" distB="0" distL="0" distR="0" allowOverlap="1" layoutInCell="1" locked="0" behindDoc="0" simplePos="0" relativeHeight="15728640">
            <wp:simplePos x="0" y="0"/>
            <wp:positionH relativeFrom="page">
              <wp:posOffset>914400</wp:posOffset>
            </wp:positionH>
            <wp:positionV relativeFrom="paragraph">
              <wp:posOffset>25211</wp:posOffset>
            </wp:positionV>
            <wp:extent cx="3596640" cy="83060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96640" cy="830605"/>
                    </a:xfrm>
                    <a:prstGeom prst="rect">
                      <a:avLst/>
                    </a:prstGeom>
                  </pic:spPr>
                </pic:pic>
              </a:graphicData>
            </a:graphic>
          </wp:anchor>
        </w:drawing>
      </w:r>
      <w:r>
        <w:rPr/>
        <w:pict>
          <v:rect style="position:absolute;margin-left:6.306595pt;margin-top:755.450012pt;width:597.024pt;height:30.771802pt;mso-position-horizontal-relative:page;mso-position-vertical-relative:page;z-index:15729152" id="docshape1" filled="true" fillcolor="#08509a" stroked="false">
            <v:fill type="solid"/>
            <w10:wrap type="none"/>
          </v:rect>
        </w:pict>
      </w:r>
      <w:r>
        <w:rPr>
          <w:b/>
          <w:color w:val="08509A"/>
          <w:sz w:val="16"/>
        </w:rPr>
        <w:t>Caribbean</w:t>
      </w:r>
      <w:r>
        <w:rPr>
          <w:b/>
          <w:color w:val="08509A"/>
          <w:spacing w:val="-6"/>
          <w:sz w:val="16"/>
        </w:rPr>
        <w:t> </w:t>
      </w:r>
      <w:r>
        <w:rPr>
          <w:b/>
          <w:color w:val="08509A"/>
          <w:sz w:val="16"/>
        </w:rPr>
        <w:t>Institute</w:t>
      </w:r>
      <w:r>
        <w:rPr>
          <w:b/>
          <w:color w:val="08509A"/>
          <w:spacing w:val="-4"/>
          <w:sz w:val="16"/>
        </w:rPr>
        <w:t> </w:t>
      </w:r>
      <w:r>
        <w:rPr>
          <w:b/>
          <w:color w:val="08509A"/>
          <w:sz w:val="16"/>
        </w:rPr>
        <w:t>for</w:t>
      </w:r>
      <w:r>
        <w:rPr>
          <w:b/>
          <w:color w:val="08509A"/>
          <w:spacing w:val="-7"/>
          <w:sz w:val="16"/>
        </w:rPr>
        <w:t> </w:t>
      </w:r>
      <w:r>
        <w:rPr>
          <w:b/>
          <w:color w:val="08509A"/>
          <w:sz w:val="16"/>
        </w:rPr>
        <w:t>Meteorology</w:t>
      </w:r>
      <w:r>
        <w:rPr>
          <w:b/>
          <w:color w:val="08509A"/>
          <w:spacing w:val="-4"/>
          <w:sz w:val="16"/>
        </w:rPr>
        <w:t> </w:t>
      </w:r>
      <w:r>
        <w:rPr>
          <w:b/>
          <w:color w:val="08509A"/>
          <w:sz w:val="16"/>
        </w:rPr>
        <w:t>and</w:t>
      </w:r>
      <w:r>
        <w:rPr>
          <w:b/>
          <w:color w:val="08509A"/>
          <w:spacing w:val="-4"/>
          <w:sz w:val="16"/>
        </w:rPr>
        <w:t> </w:t>
      </w:r>
      <w:r>
        <w:rPr>
          <w:b/>
          <w:color w:val="08509A"/>
          <w:spacing w:val="-2"/>
          <w:sz w:val="16"/>
        </w:rPr>
        <w:t>Hydrology</w:t>
      </w:r>
    </w:p>
    <w:p>
      <w:pPr>
        <w:spacing w:before="16"/>
        <w:ind w:left="5945" w:right="0" w:firstLine="0"/>
        <w:jc w:val="left"/>
        <w:rPr>
          <w:sz w:val="16"/>
        </w:rPr>
      </w:pPr>
      <w:r>
        <w:rPr>
          <w:sz w:val="16"/>
        </w:rPr>
        <w:t>P.O.</w:t>
      </w:r>
      <w:r>
        <w:rPr>
          <w:spacing w:val="-4"/>
          <w:sz w:val="16"/>
        </w:rPr>
        <w:t> </w:t>
      </w:r>
      <w:r>
        <w:rPr>
          <w:sz w:val="16"/>
        </w:rPr>
        <w:t>Box</w:t>
      </w:r>
      <w:r>
        <w:rPr>
          <w:spacing w:val="-3"/>
          <w:sz w:val="16"/>
        </w:rPr>
        <w:t> </w:t>
      </w:r>
      <w:r>
        <w:rPr>
          <w:sz w:val="16"/>
        </w:rPr>
        <w:t>130,</w:t>
      </w:r>
      <w:r>
        <w:rPr>
          <w:spacing w:val="-3"/>
          <w:sz w:val="16"/>
        </w:rPr>
        <w:t> </w:t>
      </w:r>
      <w:r>
        <w:rPr>
          <w:sz w:val="16"/>
        </w:rPr>
        <w:t>Bridgetown,</w:t>
      </w:r>
      <w:r>
        <w:rPr>
          <w:spacing w:val="-3"/>
          <w:sz w:val="16"/>
        </w:rPr>
        <w:t> </w:t>
      </w:r>
      <w:r>
        <w:rPr>
          <w:spacing w:val="-2"/>
          <w:sz w:val="16"/>
        </w:rPr>
        <w:t>Barbados</w:t>
      </w:r>
    </w:p>
    <w:p>
      <w:pPr>
        <w:spacing w:before="21"/>
        <w:ind w:left="5945" w:right="0" w:firstLine="0"/>
        <w:jc w:val="left"/>
        <w:rPr>
          <w:sz w:val="16"/>
        </w:rPr>
      </w:pPr>
      <w:r>
        <w:rPr>
          <w:b/>
          <w:sz w:val="16"/>
        </w:rPr>
        <w:t>Tel:</w:t>
      </w:r>
      <w:r>
        <w:rPr>
          <w:b/>
          <w:spacing w:val="-6"/>
          <w:sz w:val="16"/>
        </w:rPr>
        <w:t> </w:t>
      </w:r>
      <w:r>
        <w:rPr>
          <w:sz w:val="16"/>
        </w:rPr>
        <w:t>246-425-</w:t>
      </w:r>
      <w:r>
        <w:rPr>
          <w:spacing w:val="-2"/>
          <w:sz w:val="16"/>
        </w:rPr>
        <w:t>1362/3/5</w:t>
      </w:r>
    </w:p>
    <w:p>
      <w:pPr>
        <w:spacing w:before="21"/>
        <w:ind w:left="5945" w:right="0" w:firstLine="0"/>
        <w:jc w:val="left"/>
        <w:rPr>
          <w:sz w:val="16"/>
        </w:rPr>
      </w:pPr>
      <w:r>
        <w:rPr>
          <w:b/>
          <w:sz w:val="16"/>
        </w:rPr>
        <w:t>Fax:</w:t>
      </w:r>
      <w:r>
        <w:rPr>
          <w:b/>
          <w:spacing w:val="-7"/>
          <w:sz w:val="16"/>
        </w:rPr>
        <w:t> </w:t>
      </w:r>
      <w:r>
        <w:rPr>
          <w:sz w:val="16"/>
        </w:rPr>
        <w:t>246-424-</w:t>
      </w:r>
      <w:r>
        <w:rPr>
          <w:spacing w:val="-4"/>
          <w:sz w:val="16"/>
        </w:rPr>
        <w:t>4733</w:t>
      </w:r>
    </w:p>
    <w:p>
      <w:pPr>
        <w:spacing w:before="18"/>
        <w:ind w:left="5945" w:right="0" w:firstLine="0"/>
        <w:jc w:val="left"/>
        <w:rPr>
          <w:sz w:val="16"/>
        </w:rPr>
      </w:pPr>
      <w:r>
        <w:rPr>
          <w:b/>
          <w:sz w:val="16"/>
        </w:rPr>
        <w:t>Email:</w:t>
      </w:r>
      <w:r>
        <w:rPr>
          <w:b/>
          <w:spacing w:val="-2"/>
          <w:sz w:val="16"/>
        </w:rPr>
        <w:t> </w:t>
      </w:r>
      <w:hyperlink r:id="rId6">
        <w:r>
          <w:rPr>
            <w:color w:val="0462C1"/>
            <w:spacing w:val="-2"/>
            <w:sz w:val="16"/>
            <w:u w:val="single" w:color="0462C1"/>
          </w:rPr>
          <w:t>climsacaribbean@cimh.edu.bb</w:t>
        </w:r>
      </w:hyperlink>
    </w:p>
    <w:p>
      <w:pPr>
        <w:pStyle w:val="BodyText"/>
        <w:ind w:left="0"/>
        <w:jc w:val="left"/>
        <w:rPr>
          <w:sz w:val="20"/>
        </w:rPr>
      </w:pPr>
    </w:p>
    <w:p>
      <w:pPr>
        <w:pStyle w:val="BodyText"/>
        <w:ind w:left="0"/>
        <w:jc w:val="left"/>
        <w:rPr>
          <w:sz w:val="18"/>
        </w:rPr>
      </w:pPr>
    </w:p>
    <w:p>
      <w:pPr>
        <w:pStyle w:val="Title"/>
      </w:pPr>
      <w:r>
        <w:rPr/>
        <w:t>Key</w:t>
      </w:r>
      <w:r>
        <w:rPr>
          <w:spacing w:val="-7"/>
        </w:rPr>
        <w:t> </w:t>
      </w:r>
      <w:r>
        <w:rPr/>
        <w:t>Stakeholders</w:t>
      </w:r>
      <w:r>
        <w:rPr>
          <w:spacing w:val="-5"/>
        </w:rPr>
        <w:t> </w:t>
      </w:r>
      <w:r>
        <w:rPr/>
        <w:t>in</w:t>
      </w:r>
      <w:r>
        <w:rPr>
          <w:spacing w:val="-4"/>
        </w:rPr>
        <w:t> </w:t>
      </w:r>
      <w:r>
        <w:rPr/>
        <w:t>Guyana</w:t>
      </w:r>
      <w:r>
        <w:rPr>
          <w:spacing w:val="-5"/>
        </w:rPr>
        <w:t> </w:t>
      </w:r>
      <w:r>
        <w:rPr/>
        <w:t>trained</w:t>
      </w:r>
      <w:r>
        <w:rPr>
          <w:spacing w:val="-4"/>
        </w:rPr>
        <w:t> </w:t>
      </w:r>
      <w:r>
        <w:rPr/>
        <w:t>in</w:t>
      </w:r>
      <w:r>
        <w:rPr>
          <w:spacing w:val="-4"/>
        </w:rPr>
        <w:t> </w:t>
      </w:r>
      <w:r>
        <w:rPr/>
        <w:t>Participatory</w:t>
      </w:r>
      <w:r>
        <w:rPr>
          <w:spacing w:val="-4"/>
        </w:rPr>
        <w:t> </w:t>
      </w:r>
      <w:r>
        <w:rPr/>
        <w:t>Agriculture</w:t>
      </w:r>
      <w:r>
        <w:rPr>
          <w:spacing w:val="-5"/>
        </w:rPr>
        <w:t> </w:t>
      </w:r>
      <w:r>
        <w:rPr/>
        <w:t>Climate</w:t>
      </w:r>
      <w:r>
        <w:rPr>
          <w:spacing w:val="-3"/>
        </w:rPr>
        <w:t> </w:t>
      </w:r>
      <w:r>
        <w:rPr/>
        <w:t>Services</w:t>
      </w:r>
      <w:r>
        <w:rPr>
          <w:spacing w:val="-3"/>
        </w:rPr>
        <w:t> </w:t>
      </w:r>
      <w:r>
        <w:rPr>
          <w:spacing w:val="-2"/>
        </w:rPr>
        <w:t>Approach</w:t>
      </w:r>
    </w:p>
    <w:p>
      <w:pPr>
        <w:pStyle w:val="BodyText"/>
        <w:spacing w:line="259" w:lineRule="auto" w:before="204"/>
        <w:ind w:right="114"/>
      </w:pPr>
      <w:r>
        <w:rPr/>
        <w:t>On June 5, the Caribbean Institute for Meteorology and Hydrology (CIMH), in partnership with the European Union, University of Reading, the Ministry of Agriculture in Guyana, and the Hydrometeorological Service of Guyana commenced a 5-day Participatory Integrated Climate Services for Agriculture (PICSA) training workshop for agricultural stakeholders in Georgetown, </w:t>
      </w:r>
      <w:r>
        <w:rPr>
          <w:spacing w:val="-2"/>
        </w:rPr>
        <w:t>Guyana.</w:t>
      </w:r>
    </w:p>
    <w:p>
      <w:pPr>
        <w:pStyle w:val="BodyText"/>
        <w:spacing w:line="259" w:lineRule="auto" w:before="161"/>
        <w:ind w:right="112"/>
      </w:pPr>
      <w:r>
        <w:rPr/>
        <w:t>The training which was attended by 30 participants comprising Agriculture Extension Officers, Meteorologists, Fisheries Officers, and other key stakeholders in agriculture focused on the use of historical and forecasted, weather and climate information and participatory extension approaches to enhance agriculture.</w:t>
      </w:r>
    </w:p>
    <w:p>
      <w:pPr>
        <w:pStyle w:val="BodyText"/>
        <w:spacing w:line="259" w:lineRule="auto" w:before="157"/>
        <w:ind w:right="113"/>
      </w:pPr>
      <w:r>
        <w:rPr/>
        <w:t>During</w:t>
      </w:r>
      <w:r>
        <w:rPr>
          <w:spacing w:val="-5"/>
        </w:rPr>
        <w:t> </w:t>
      </w:r>
      <w:r>
        <w:rPr/>
        <w:t>the</w:t>
      </w:r>
      <w:r>
        <w:rPr>
          <w:spacing w:val="-7"/>
        </w:rPr>
        <w:t> </w:t>
      </w:r>
      <w:r>
        <w:rPr/>
        <w:t>workshop,</w:t>
      </w:r>
      <w:r>
        <w:rPr>
          <w:spacing w:val="-7"/>
        </w:rPr>
        <w:t> </w:t>
      </w:r>
      <w:r>
        <w:rPr/>
        <w:t>which</w:t>
      </w:r>
      <w:r>
        <w:rPr>
          <w:spacing w:val="-4"/>
        </w:rPr>
        <w:t> </w:t>
      </w:r>
      <w:r>
        <w:rPr/>
        <w:t>was</w:t>
      </w:r>
      <w:r>
        <w:rPr>
          <w:spacing w:val="-7"/>
        </w:rPr>
        <w:t> </w:t>
      </w:r>
      <w:r>
        <w:rPr/>
        <w:t>the</w:t>
      </w:r>
      <w:r>
        <w:rPr>
          <w:spacing w:val="-4"/>
        </w:rPr>
        <w:t> </w:t>
      </w:r>
      <w:r>
        <w:rPr/>
        <w:t>second</w:t>
      </w:r>
      <w:r>
        <w:rPr>
          <w:spacing w:val="-6"/>
        </w:rPr>
        <w:t> </w:t>
      </w:r>
      <w:r>
        <w:rPr/>
        <w:t>of</w:t>
      </w:r>
      <w:r>
        <w:rPr>
          <w:spacing w:val="-3"/>
        </w:rPr>
        <w:t> </w:t>
      </w:r>
      <w:r>
        <w:rPr/>
        <w:t>its</w:t>
      </w:r>
      <w:r>
        <w:rPr>
          <w:spacing w:val="-8"/>
        </w:rPr>
        <w:t> </w:t>
      </w:r>
      <w:r>
        <w:rPr/>
        <w:t>kind</w:t>
      </w:r>
      <w:r>
        <w:rPr>
          <w:spacing w:val="-4"/>
        </w:rPr>
        <w:t> </w:t>
      </w:r>
      <w:r>
        <w:rPr/>
        <w:t>held</w:t>
      </w:r>
      <w:r>
        <w:rPr>
          <w:spacing w:val="-3"/>
        </w:rPr>
        <w:t> </w:t>
      </w:r>
      <w:r>
        <w:rPr/>
        <w:t>in</w:t>
      </w:r>
      <w:r>
        <w:rPr>
          <w:spacing w:val="-4"/>
        </w:rPr>
        <w:t> </w:t>
      </w:r>
      <w:r>
        <w:rPr/>
        <w:t>Guyana,</w:t>
      </w:r>
      <w:r>
        <w:rPr>
          <w:spacing w:val="-7"/>
        </w:rPr>
        <w:t> </w:t>
      </w:r>
      <w:r>
        <w:rPr/>
        <w:t>participants</w:t>
      </w:r>
      <w:r>
        <w:rPr>
          <w:spacing w:val="-1"/>
        </w:rPr>
        <w:t> </w:t>
      </w:r>
      <w:r>
        <w:rPr/>
        <w:t>explored</w:t>
      </w:r>
      <w:r>
        <w:rPr>
          <w:spacing w:val="-6"/>
        </w:rPr>
        <w:t> </w:t>
      </w:r>
      <w:r>
        <w:rPr/>
        <w:t>the link between climate services and agricultural extension. Attendees shared current farming and livelihoods practices and participated in exercises on identifying and selecting suitable crops, varieties,</w:t>
      </w:r>
      <w:r>
        <w:rPr>
          <w:spacing w:val="-10"/>
        </w:rPr>
        <w:t> </w:t>
      </w:r>
      <w:r>
        <w:rPr/>
        <w:t>and</w:t>
      </w:r>
      <w:r>
        <w:rPr>
          <w:spacing w:val="-10"/>
        </w:rPr>
        <w:t> </w:t>
      </w:r>
      <w:r>
        <w:rPr/>
        <w:t>crop</w:t>
      </w:r>
      <w:r>
        <w:rPr>
          <w:spacing w:val="-12"/>
        </w:rPr>
        <w:t> </w:t>
      </w:r>
      <w:r>
        <w:rPr/>
        <w:t>practices;</w:t>
      </w:r>
      <w:r>
        <w:rPr>
          <w:spacing w:val="-7"/>
        </w:rPr>
        <w:t> </w:t>
      </w:r>
      <w:r>
        <w:rPr/>
        <w:t>crop</w:t>
      </w:r>
      <w:r>
        <w:rPr>
          <w:spacing w:val="-7"/>
        </w:rPr>
        <w:t> </w:t>
      </w:r>
      <w:r>
        <w:rPr/>
        <w:t>management,</w:t>
      </w:r>
      <w:r>
        <w:rPr>
          <w:spacing w:val="-11"/>
        </w:rPr>
        <w:t> </w:t>
      </w:r>
      <w:r>
        <w:rPr/>
        <w:t>livestock,</w:t>
      </w:r>
      <w:r>
        <w:rPr>
          <w:spacing w:val="-8"/>
        </w:rPr>
        <w:t> </w:t>
      </w:r>
      <w:r>
        <w:rPr/>
        <w:t>and</w:t>
      </w:r>
      <w:r>
        <w:rPr>
          <w:spacing w:val="-10"/>
        </w:rPr>
        <w:t> </w:t>
      </w:r>
      <w:r>
        <w:rPr/>
        <w:t>livelihood</w:t>
      </w:r>
      <w:r>
        <w:rPr>
          <w:spacing w:val="-12"/>
        </w:rPr>
        <w:t> </w:t>
      </w:r>
      <w:r>
        <w:rPr/>
        <w:t>options;</w:t>
      </w:r>
      <w:r>
        <w:rPr>
          <w:spacing w:val="-11"/>
        </w:rPr>
        <w:t> </w:t>
      </w:r>
      <w:r>
        <w:rPr/>
        <w:t>understanding and using short term and seasonal forecasts; and the role of facilitators in empowering farmers to make</w:t>
      </w:r>
      <w:r>
        <w:rPr>
          <w:spacing w:val="-1"/>
        </w:rPr>
        <w:t> </w:t>
      </w:r>
      <w:r>
        <w:rPr/>
        <w:t>informed</w:t>
      </w:r>
      <w:r>
        <w:rPr>
          <w:spacing w:val="-1"/>
        </w:rPr>
        <w:t> </w:t>
      </w:r>
      <w:r>
        <w:rPr/>
        <w:t>decisions about</w:t>
      </w:r>
      <w:r>
        <w:rPr>
          <w:spacing w:val="-1"/>
        </w:rPr>
        <w:t> </w:t>
      </w:r>
      <w:r>
        <w:rPr/>
        <w:t>which</w:t>
      </w:r>
      <w:r>
        <w:rPr>
          <w:spacing w:val="-1"/>
        </w:rPr>
        <w:t> </w:t>
      </w:r>
      <w:r>
        <w:rPr/>
        <w:t>practices work</w:t>
      </w:r>
      <w:r>
        <w:rPr>
          <w:spacing w:val="-3"/>
        </w:rPr>
        <w:t> </w:t>
      </w:r>
      <w:r>
        <w:rPr/>
        <w:t>best in their</w:t>
      </w:r>
      <w:r>
        <w:rPr>
          <w:spacing w:val="-1"/>
        </w:rPr>
        <w:t> </w:t>
      </w:r>
      <w:r>
        <w:rPr/>
        <w:t>context. In</w:t>
      </w:r>
      <w:r>
        <w:rPr>
          <w:spacing w:val="-1"/>
        </w:rPr>
        <w:t> </w:t>
      </w:r>
      <w:r>
        <w:rPr/>
        <w:t>a</w:t>
      </w:r>
      <w:r>
        <w:rPr>
          <w:spacing w:val="-2"/>
        </w:rPr>
        <w:t> </w:t>
      </w:r>
      <w:r>
        <w:rPr/>
        <w:t>field exercise, participants had the opportunity to test their training when working with farmers’ groups in Berbice. The training workshop concluded with a closing ceremony during which certificates of completion were presented to participants by the Joan Sastre Nadal of the European Union Delegation in Guyana and Haymawattie Danny, Deputy Chief Hydrometeorological Officer, Hydrometeorological Services of Guyana.</w:t>
      </w:r>
    </w:p>
    <w:p>
      <w:pPr>
        <w:pStyle w:val="BodyText"/>
        <w:spacing w:line="259" w:lineRule="auto" w:before="158"/>
        <w:ind w:right="116"/>
      </w:pPr>
      <w:r>
        <w:rPr/>
        <w:t>Joan</w:t>
      </w:r>
      <w:r>
        <w:rPr>
          <w:spacing w:val="-4"/>
        </w:rPr>
        <w:t> </w:t>
      </w:r>
      <w:r>
        <w:rPr/>
        <w:t>Sastre</w:t>
      </w:r>
      <w:r>
        <w:rPr>
          <w:spacing w:val="-4"/>
        </w:rPr>
        <w:t> </w:t>
      </w:r>
      <w:r>
        <w:rPr/>
        <w:t>Nadal</w:t>
      </w:r>
      <w:r>
        <w:rPr>
          <w:spacing w:val="-4"/>
        </w:rPr>
        <w:t> </w:t>
      </w:r>
      <w:r>
        <w:rPr/>
        <w:t>of</w:t>
      </w:r>
      <w:r>
        <w:rPr>
          <w:spacing w:val="-4"/>
        </w:rPr>
        <w:t> </w:t>
      </w:r>
      <w:r>
        <w:rPr/>
        <w:t>the</w:t>
      </w:r>
      <w:r>
        <w:rPr>
          <w:spacing w:val="-7"/>
        </w:rPr>
        <w:t> </w:t>
      </w:r>
      <w:r>
        <w:rPr/>
        <w:t>European</w:t>
      </w:r>
      <w:r>
        <w:rPr>
          <w:spacing w:val="-4"/>
        </w:rPr>
        <w:t> </w:t>
      </w:r>
      <w:r>
        <w:rPr/>
        <w:t>Union</w:t>
      </w:r>
      <w:r>
        <w:rPr>
          <w:spacing w:val="-4"/>
        </w:rPr>
        <w:t> </w:t>
      </w:r>
      <w:r>
        <w:rPr/>
        <w:t>Delegation</w:t>
      </w:r>
      <w:r>
        <w:rPr>
          <w:spacing w:val="-1"/>
        </w:rPr>
        <w:t> </w:t>
      </w:r>
      <w:r>
        <w:rPr/>
        <w:t>in</w:t>
      </w:r>
      <w:r>
        <w:rPr>
          <w:spacing w:val="-4"/>
        </w:rPr>
        <w:t> </w:t>
      </w:r>
      <w:r>
        <w:rPr/>
        <w:t>Guyana</w:t>
      </w:r>
      <w:r>
        <w:rPr>
          <w:spacing w:val="-5"/>
        </w:rPr>
        <w:t> </w:t>
      </w:r>
      <w:r>
        <w:rPr/>
        <w:t>commented</w:t>
      </w:r>
      <w:r>
        <w:rPr>
          <w:spacing w:val="-2"/>
        </w:rPr>
        <w:t> </w:t>
      </w:r>
      <w:r>
        <w:rPr/>
        <w:t>on</w:t>
      </w:r>
      <w:r>
        <w:rPr>
          <w:spacing w:val="-4"/>
        </w:rPr>
        <w:t> </w:t>
      </w:r>
      <w:r>
        <w:rPr/>
        <w:t>the</w:t>
      </w:r>
      <w:r>
        <w:rPr>
          <w:spacing w:val="-5"/>
        </w:rPr>
        <w:t> </w:t>
      </w:r>
      <w:r>
        <w:rPr/>
        <w:t>longstanding partnership</w:t>
      </w:r>
      <w:r>
        <w:rPr>
          <w:spacing w:val="-14"/>
        </w:rPr>
        <w:t> </w:t>
      </w:r>
      <w:r>
        <w:rPr/>
        <w:t>between</w:t>
      </w:r>
      <w:r>
        <w:rPr>
          <w:spacing w:val="-14"/>
        </w:rPr>
        <w:t> </w:t>
      </w:r>
      <w:r>
        <w:rPr/>
        <w:t>the</w:t>
      </w:r>
      <w:r>
        <w:rPr>
          <w:spacing w:val="-13"/>
        </w:rPr>
        <w:t> </w:t>
      </w:r>
      <w:r>
        <w:rPr/>
        <w:t>European</w:t>
      </w:r>
      <w:r>
        <w:rPr>
          <w:spacing w:val="-12"/>
        </w:rPr>
        <w:t> </w:t>
      </w:r>
      <w:r>
        <w:rPr/>
        <w:t>Union</w:t>
      </w:r>
      <w:r>
        <w:rPr>
          <w:spacing w:val="-12"/>
        </w:rPr>
        <w:t> </w:t>
      </w:r>
      <w:r>
        <w:rPr/>
        <w:t>and</w:t>
      </w:r>
      <w:r>
        <w:rPr>
          <w:spacing w:val="-13"/>
        </w:rPr>
        <w:t> </w:t>
      </w:r>
      <w:r>
        <w:rPr/>
        <w:t>Guyana.</w:t>
      </w:r>
      <w:r>
        <w:rPr>
          <w:spacing w:val="-13"/>
        </w:rPr>
        <w:t> </w:t>
      </w:r>
      <w:r>
        <w:rPr/>
        <w:t>He</w:t>
      </w:r>
      <w:r>
        <w:rPr>
          <w:spacing w:val="-11"/>
        </w:rPr>
        <w:t> </w:t>
      </w:r>
      <w:r>
        <w:rPr/>
        <w:t>stated</w:t>
      </w:r>
      <w:r>
        <w:rPr>
          <w:spacing w:val="-13"/>
        </w:rPr>
        <w:t> </w:t>
      </w:r>
      <w:r>
        <w:rPr/>
        <w:t>“Capacity</w:t>
      </w:r>
      <w:r>
        <w:rPr>
          <w:spacing w:val="-13"/>
        </w:rPr>
        <w:t> </w:t>
      </w:r>
      <w:r>
        <w:rPr/>
        <w:t>building</w:t>
      </w:r>
      <w:r>
        <w:rPr>
          <w:spacing w:val="-14"/>
        </w:rPr>
        <w:t> </w:t>
      </w:r>
      <w:r>
        <w:rPr/>
        <w:t>like</w:t>
      </w:r>
      <w:r>
        <w:rPr>
          <w:spacing w:val="-14"/>
        </w:rPr>
        <w:t> </w:t>
      </w:r>
      <w:r>
        <w:rPr/>
        <w:t>what</w:t>
      </w:r>
      <w:r>
        <w:rPr>
          <w:spacing w:val="-13"/>
        </w:rPr>
        <w:t> </w:t>
      </w:r>
      <w:r>
        <w:rPr/>
        <w:t>has been</w:t>
      </w:r>
      <w:r>
        <w:rPr>
          <w:spacing w:val="-8"/>
        </w:rPr>
        <w:t> </w:t>
      </w:r>
      <w:r>
        <w:rPr/>
        <w:t>undertaken</w:t>
      </w:r>
      <w:r>
        <w:rPr>
          <w:spacing w:val="-7"/>
        </w:rPr>
        <w:t> </w:t>
      </w:r>
      <w:r>
        <w:rPr/>
        <w:t>over</w:t>
      </w:r>
      <w:r>
        <w:rPr>
          <w:spacing w:val="-6"/>
        </w:rPr>
        <w:t> </w:t>
      </w:r>
      <w:r>
        <w:rPr/>
        <w:t>the</w:t>
      </w:r>
      <w:r>
        <w:rPr>
          <w:spacing w:val="-6"/>
        </w:rPr>
        <w:t> </w:t>
      </w:r>
      <w:r>
        <w:rPr/>
        <w:t>last</w:t>
      </w:r>
      <w:r>
        <w:rPr>
          <w:spacing w:val="-8"/>
        </w:rPr>
        <w:t> </w:t>
      </w:r>
      <w:r>
        <w:rPr/>
        <w:t>few</w:t>
      </w:r>
      <w:r>
        <w:rPr>
          <w:spacing w:val="-7"/>
        </w:rPr>
        <w:t> </w:t>
      </w:r>
      <w:r>
        <w:rPr/>
        <w:t>days</w:t>
      </w:r>
      <w:r>
        <w:rPr>
          <w:spacing w:val="-7"/>
        </w:rPr>
        <w:t> </w:t>
      </w:r>
      <w:r>
        <w:rPr/>
        <w:t>will</w:t>
      </w:r>
      <w:r>
        <w:rPr>
          <w:spacing w:val="-9"/>
        </w:rPr>
        <w:t> </w:t>
      </w:r>
      <w:r>
        <w:rPr/>
        <w:t>support</w:t>
      </w:r>
      <w:r>
        <w:rPr>
          <w:spacing w:val="-8"/>
        </w:rPr>
        <w:t> </w:t>
      </w:r>
      <w:r>
        <w:rPr/>
        <w:t>farmers</w:t>
      </w:r>
      <w:r>
        <w:rPr>
          <w:spacing w:val="-6"/>
        </w:rPr>
        <w:t> </w:t>
      </w:r>
      <w:r>
        <w:rPr/>
        <w:t>in</w:t>
      </w:r>
      <w:r>
        <w:rPr>
          <w:spacing w:val="-5"/>
        </w:rPr>
        <w:t> </w:t>
      </w:r>
      <w:r>
        <w:rPr/>
        <w:t>utilising</w:t>
      </w:r>
      <w:r>
        <w:rPr>
          <w:spacing w:val="-9"/>
        </w:rPr>
        <w:t> </w:t>
      </w:r>
      <w:r>
        <w:rPr/>
        <w:t>these</w:t>
      </w:r>
      <w:r>
        <w:rPr>
          <w:spacing w:val="-6"/>
        </w:rPr>
        <w:t> </w:t>
      </w:r>
      <w:r>
        <w:rPr/>
        <w:t>types</w:t>
      </w:r>
      <w:r>
        <w:rPr>
          <w:spacing w:val="-9"/>
        </w:rPr>
        <w:t> </w:t>
      </w:r>
      <w:r>
        <w:rPr/>
        <w:t>of</w:t>
      </w:r>
      <w:r>
        <w:rPr>
          <w:spacing w:val="-7"/>
        </w:rPr>
        <w:t> </w:t>
      </w:r>
      <w:r>
        <w:rPr/>
        <w:t>projection and climate information for planning at the site level. This will improve sector resilience, farm- by-farm, country by country”.</w:t>
      </w:r>
    </w:p>
    <w:p>
      <w:pPr>
        <w:pStyle w:val="BodyText"/>
        <w:spacing w:line="259" w:lineRule="auto" w:before="159"/>
        <w:ind w:right="120"/>
      </w:pPr>
      <w:r>
        <w:rPr/>
        <w:t>Mrs. Haymawattie Danny, Deputy Chief Hydrometeorological Officer, Hydrometeorological Service, expressed her enthusiasm for the workshop stating it addressed</w:t>
      </w:r>
      <w:r>
        <w:rPr>
          <w:spacing w:val="-1"/>
        </w:rPr>
        <w:t> </w:t>
      </w:r>
      <w:r>
        <w:rPr/>
        <w:t>a critical need to build resilience against the impacts of climate variability and change in the agricultural sector.</w:t>
      </w:r>
    </w:p>
    <w:sectPr>
      <w:type w:val="continuous"/>
      <w:pgSz w:w="12240" w:h="15840"/>
      <w:pgMar w:top="1400" w:bottom="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jc w:val="both"/>
    </w:pPr>
    <w:rPr>
      <w:rFonts w:ascii="Calibri" w:hAnsi="Calibri" w:eastAsia="Calibri" w:cs="Calibri"/>
      <w:sz w:val="24"/>
      <w:szCs w:val="24"/>
      <w:lang w:val="en-US" w:eastAsia="en-US" w:bidi="ar-SA"/>
    </w:rPr>
  </w:style>
  <w:style w:styleId="Title" w:type="paragraph">
    <w:name w:val="Title"/>
    <w:basedOn w:val="Normal"/>
    <w:uiPriority w:val="1"/>
    <w:qFormat/>
    <w:pPr>
      <w:spacing w:before="52"/>
      <w:ind w:left="275"/>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limsacaribbean@cimh.edu.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Lyn-Marie Deane</dc:creator>
  <dcterms:created xsi:type="dcterms:W3CDTF">2023-07-26T15:45:50Z</dcterms:created>
  <dcterms:modified xsi:type="dcterms:W3CDTF">2023-07-26T15:45:50Z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